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Heading1"/>
        <w:spacing w:before="79"/>
        <w:jc w:val="right"/>
      </w:pPr>
      <w:r>
        <w:rPr/>
        <w:t>ADOPTED – SEPTEMBER 22,</w:t>
      </w:r>
      <w:r>
        <w:rPr>
          <w:spacing w:val="-9"/>
        </w:rPr>
        <w:t> </w:t>
      </w:r>
      <w:r>
        <w:rPr/>
        <w:t>2026</w:t>
      </w:r>
    </w:p>
    <w:p>
      <w:pPr>
        <w:spacing w:before="0"/>
        <w:ind w:left="0" w:right="98" w:firstLine="0"/>
        <w:jc w:val="right"/>
        <w:rPr>
          <w:b/>
          <w:sz w:val="24"/>
        </w:rPr>
      </w:pPr>
      <w:r>
        <w:rPr>
          <w:b/>
          <w:sz w:val="24"/>
        </w:rPr>
        <w:t>AGENDA ITEM NO.</w:t>
      </w:r>
      <w:r>
        <w:rPr>
          <w:b/>
          <w:spacing w:val="-6"/>
          <w:sz w:val="24"/>
        </w:rPr>
        <w:t> </w:t>
      </w:r>
      <w:r>
        <w:rPr>
          <w:b/>
          <w:sz w:val="24"/>
        </w:rPr>
        <w:t>52</w:t>
      </w:r>
    </w:p>
    <w:p>
      <w:pPr>
        <w:pStyle w:val="BodyText"/>
        <w:spacing w:before="2"/>
        <w:rPr>
          <w:b/>
          <w:sz w:val="16"/>
        </w:rPr>
      </w:pPr>
    </w:p>
    <w:p>
      <w:pPr>
        <w:pStyle w:val="BodyText"/>
        <w:spacing w:before="90"/>
        <w:ind w:left="100"/>
      </w:pPr>
      <w:r>
        <w:rPr/>
        <w:t>Introduced by the Law &amp; Courts and Finance Committees of the:</w:t>
      </w:r>
    </w:p>
    <w:p>
      <w:pPr>
        <w:pStyle w:val="BodyText"/>
      </w:pPr>
    </w:p>
    <w:p>
      <w:pPr>
        <w:pStyle w:val="BodyText"/>
        <w:ind w:left="145" w:right="146"/>
        <w:jc w:val="center"/>
      </w:pPr>
      <w:r>
        <w:rPr/>
        <w:t>INGHAM COUNTY BOARD OF COMMISSIONERS</w:t>
      </w:r>
    </w:p>
    <w:p>
      <w:pPr>
        <w:pStyle w:val="BodyText"/>
      </w:pPr>
    </w:p>
    <w:p>
      <w:pPr>
        <w:pStyle w:val="Heading1"/>
        <w:ind w:left="145" w:right="147"/>
      </w:pPr>
      <w:r>
        <w:rPr/>
        <w:t>RESOLUTION TO AUTHORIZE AN EQUIPMENT PURCHASE FROM SCENARIO TRAINER INC. FOR ACTIVE-ASSAILANT TRAINING EQUIPMENT</w:t>
      </w:r>
    </w:p>
    <w:p>
      <w:pPr>
        <w:pStyle w:val="BodyText"/>
        <w:rPr>
          <w:b/>
        </w:rPr>
      </w:pPr>
    </w:p>
    <w:p>
      <w:pPr>
        <w:spacing w:before="0"/>
        <w:ind w:left="145" w:right="145" w:firstLine="0"/>
        <w:jc w:val="center"/>
        <w:rPr>
          <w:b/>
          <w:sz w:val="24"/>
        </w:rPr>
      </w:pPr>
      <w:r>
        <w:rPr>
          <w:b/>
          <w:sz w:val="24"/>
        </w:rPr>
        <w:t>RESOLUTION #26 – 469</w:t>
      </w:r>
    </w:p>
    <w:p>
      <w:pPr>
        <w:pStyle w:val="BodyText"/>
        <w:rPr>
          <w:b/>
          <w:sz w:val="26"/>
        </w:rPr>
      </w:pPr>
    </w:p>
    <w:p>
      <w:pPr>
        <w:pStyle w:val="BodyText"/>
        <w:rPr>
          <w:b/>
          <w:sz w:val="22"/>
        </w:rPr>
      </w:pPr>
    </w:p>
    <w:p>
      <w:pPr>
        <w:pStyle w:val="BodyText"/>
        <w:ind w:left="100" w:right="149"/>
      </w:pPr>
      <w:r>
        <w:rPr/>
        <w:t>WHEREAS, the Ingham County Office of Emergency Management received pass-through grant funds from the Region 1 FY2024 Homeland Security Grant Program (HSGP), previously accepted by the Ingham County Board of Commissioners via Resolution #24–566; and</w:t>
      </w:r>
    </w:p>
    <w:p>
      <w:pPr>
        <w:pStyle w:val="BodyText"/>
      </w:pPr>
    </w:p>
    <w:p>
      <w:pPr>
        <w:pStyle w:val="BodyText"/>
        <w:ind w:left="100" w:right="409"/>
      </w:pPr>
      <w:r>
        <w:rPr/>
        <w:t>WHEREAS, the purpose of these grant funds is to purchase equipment and provide training in the Homeland Security and Emergency Management field for the Region 1 member counties, cities, law enforcement agencies, and partner organizations; and</w:t>
      </w:r>
    </w:p>
    <w:p>
      <w:pPr>
        <w:pStyle w:val="BodyText"/>
      </w:pPr>
    </w:p>
    <w:p>
      <w:pPr>
        <w:pStyle w:val="BodyText"/>
        <w:ind w:left="100"/>
      </w:pPr>
      <w:r>
        <w:rPr/>
        <w:t>WHEREAS, the FY2024 HSGP grant requires projects to align with designated National Priority Areas; and</w:t>
      </w:r>
    </w:p>
    <w:p>
      <w:pPr>
        <w:pStyle w:val="BodyText"/>
      </w:pPr>
    </w:p>
    <w:p>
      <w:pPr>
        <w:pStyle w:val="BodyText"/>
        <w:ind w:left="100" w:right="288"/>
      </w:pPr>
      <w:r>
        <w:rPr/>
        <w:t>WHEREAS, the purchase of active-assailant training equipment supports the FY2024 HSGP National Priority Area of Combating Domestic Violent Extremism; and</w:t>
      </w:r>
    </w:p>
    <w:p>
      <w:pPr>
        <w:pStyle w:val="BodyText"/>
      </w:pPr>
    </w:p>
    <w:p>
      <w:pPr>
        <w:pStyle w:val="BodyText"/>
        <w:ind w:left="100" w:right="250"/>
      </w:pPr>
      <w:r>
        <w:rPr/>
        <w:t>WHEREAS, the equipment will be used by Region 1 law enforcement agencies and partner organizations to conduct realistic active-assailant, mass-casualty, domestic-terrorism, and violent-extremism training exercises; and</w:t>
      </w:r>
    </w:p>
    <w:p>
      <w:pPr>
        <w:pStyle w:val="BodyText"/>
      </w:pPr>
    </w:p>
    <w:p>
      <w:pPr>
        <w:pStyle w:val="BodyText"/>
        <w:spacing w:before="1"/>
        <w:ind w:left="100"/>
      </w:pPr>
      <w:r>
        <w:rPr/>
        <w:t>WHEREAS, the equipment will simulate the sound and movement of gunfire without the use of blank ammunition, allowing participating agencies to conduct safer, more realistic, and repeatable training</w:t>
      </w:r>
      <w:r>
        <w:rPr>
          <w:spacing w:val="-26"/>
        </w:rPr>
        <w:t> </w:t>
      </w:r>
      <w:r>
        <w:rPr/>
        <w:t>scenarios; and</w:t>
      </w:r>
    </w:p>
    <w:p>
      <w:pPr>
        <w:pStyle w:val="BodyText"/>
        <w:spacing w:before="11"/>
        <w:rPr>
          <w:sz w:val="23"/>
        </w:rPr>
      </w:pPr>
    </w:p>
    <w:p>
      <w:pPr>
        <w:pStyle w:val="BodyText"/>
        <w:ind w:left="100" w:right="448"/>
      </w:pPr>
      <w:r>
        <w:rPr/>
        <w:t>WHEREAS, the purchase includes eight RAS-Pack training systems with training 9mm and AR-15/M4 platforms, three gunSHOT BOX Dual Unit systems, three FieldPWR portable power stations, and associated remote-control equipment; and</w:t>
      </w:r>
    </w:p>
    <w:p>
      <w:pPr>
        <w:pStyle w:val="BodyText"/>
      </w:pPr>
    </w:p>
    <w:p>
      <w:pPr>
        <w:pStyle w:val="BodyText"/>
        <w:ind w:left="100" w:right="100"/>
      </w:pPr>
      <w:r>
        <w:rPr/>
        <w:t>WHEREAS, Scenario Trainer Inc. is the sole available source for the proprietary gunSHOT BOX Dual Unit and RAS-Pack training systems and provided a quote for the requested equipment; and</w:t>
      </w:r>
    </w:p>
    <w:p>
      <w:pPr>
        <w:pStyle w:val="BodyText"/>
      </w:pPr>
    </w:p>
    <w:p>
      <w:pPr>
        <w:pStyle w:val="BodyText"/>
        <w:ind w:left="100"/>
      </w:pPr>
      <w:r>
        <w:rPr/>
        <w:t>WHEREAS, the total expenditure for this proposal is $53,070.</w:t>
      </w:r>
    </w:p>
    <w:p>
      <w:pPr>
        <w:pStyle w:val="BodyText"/>
      </w:pPr>
    </w:p>
    <w:p>
      <w:pPr>
        <w:pStyle w:val="BodyText"/>
        <w:ind w:left="100" w:right="116"/>
      </w:pPr>
      <w:r>
        <w:rPr/>
        <w:t>THEREFORE BE IT RESOLVED, that the Ingham County Board of Commissioners authorizes the purchase of active-assailant training equipment for Region 1 member counties, cities, law enforcement agencies, and partner organizations from Scenario Trainer Inc. in the amount of $53,070, utilizing funding from the FY2024 Homeland Security Grant Program.</w:t>
      </w:r>
    </w:p>
    <w:p>
      <w:pPr>
        <w:spacing w:after="0"/>
        <w:sectPr>
          <w:type w:val="continuous"/>
          <w:pgSz w:w="12240" w:h="15840"/>
          <w:pgMar w:top="1360" w:bottom="280" w:left="620" w:right="620"/>
        </w:sectPr>
      </w:pPr>
    </w:p>
    <w:p>
      <w:pPr>
        <w:pStyle w:val="BodyText"/>
        <w:spacing w:before="79"/>
        <w:ind w:left="100" w:right="103"/>
      </w:pPr>
      <w:r>
        <w:rPr/>
        <w:t>BE IT FURTHER RESOLVED, that the Chairperson of the Board of Commissioners is hereby authorized to sign any necessary contract documents or purchase documents on behalf of the County after approval as to form by the County Attorney.</w:t>
      </w:r>
    </w:p>
    <w:p>
      <w:pPr>
        <w:pStyle w:val="BodyText"/>
      </w:pPr>
    </w:p>
    <w:p>
      <w:pPr>
        <w:spacing w:before="0"/>
        <w:ind w:left="100" w:right="0" w:firstLine="0"/>
        <w:jc w:val="left"/>
        <w:rPr>
          <w:sz w:val="24"/>
        </w:rPr>
      </w:pPr>
      <w:r>
        <w:rPr>
          <w:b/>
          <w:sz w:val="24"/>
        </w:rPr>
        <w:t>LAW &amp; COURTS: Yeas</w:t>
      </w:r>
      <w:r>
        <w:rPr>
          <w:sz w:val="24"/>
        </w:rPr>
        <w:t>: Polsdofer, Willis, Trubac, Peña, Cahill, Lawrence, Johnson</w:t>
      </w:r>
    </w:p>
    <w:p>
      <w:pPr>
        <w:tabs>
          <w:tab w:pos="2211" w:val="left" w:leader="none"/>
          <w:tab w:pos="4103" w:val="left" w:leader="none"/>
        </w:tabs>
        <w:spacing w:before="0"/>
        <w:ind w:left="700" w:right="0" w:firstLine="0"/>
        <w:jc w:val="left"/>
        <w:rPr>
          <w:b/>
          <w:sz w:val="24"/>
        </w:rPr>
      </w:pPr>
      <w:r>
        <w:rPr>
          <w:b/>
          <w:sz w:val="24"/>
        </w:rPr>
        <w:t>Nays</w:t>
      </w:r>
      <w:r>
        <w:rPr>
          <w:sz w:val="24"/>
        </w:rPr>
        <w:t>:</w:t>
      </w:r>
      <w:r>
        <w:rPr>
          <w:spacing w:val="59"/>
          <w:sz w:val="24"/>
        </w:rPr>
        <w:t> </w:t>
      </w:r>
      <w:r>
        <w:rPr>
          <w:sz w:val="24"/>
        </w:rPr>
        <w:t>None</w:t>
        <w:tab/>
      </w:r>
      <w:r>
        <w:rPr>
          <w:b/>
          <w:sz w:val="24"/>
        </w:rPr>
        <w:t>Absent:</w:t>
      </w:r>
      <w:r>
        <w:rPr>
          <w:b/>
          <w:spacing w:val="56"/>
          <w:sz w:val="24"/>
        </w:rPr>
        <w:t> </w:t>
      </w:r>
      <w:r>
        <w:rPr>
          <w:sz w:val="24"/>
        </w:rPr>
        <w:t>Schafer</w:t>
        <w:tab/>
      </w:r>
      <w:r>
        <w:rPr>
          <w:b/>
          <w:sz w:val="24"/>
        </w:rPr>
        <w:t>Approved  09/10/26</w:t>
      </w:r>
    </w:p>
    <w:p>
      <w:pPr>
        <w:pStyle w:val="BodyText"/>
        <w:rPr>
          <w:b/>
        </w:rPr>
      </w:pPr>
    </w:p>
    <w:p>
      <w:pPr>
        <w:spacing w:before="0"/>
        <w:ind w:left="100" w:right="0" w:firstLine="0"/>
        <w:jc w:val="left"/>
        <w:rPr>
          <w:sz w:val="24"/>
        </w:rPr>
      </w:pPr>
      <w:r>
        <w:rPr>
          <w:b/>
          <w:sz w:val="24"/>
        </w:rPr>
        <w:t>FINANCE: Yeas: </w:t>
      </w:r>
      <w:r>
        <w:rPr>
          <w:sz w:val="24"/>
        </w:rPr>
        <w:t>Grebner, Morgan, Tennis, Sebolt, Maiville</w:t>
      </w:r>
    </w:p>
    <w:p>
      <w:pPr>
        <w:tabs>
          <w:tab w:pos="2163" w:val="left" w:leader="none"/>
          <w:tab w:pos="4880" w:val="left" w:leader="none"/>
        </w:tabs>
        <w:spacing w:before="41"/>
        <w:ind w:left="700" w:right="0" w:firstLine="0"/>
        <w:jc w:val="left"/>
        <w:rPr>
          <w:b/>
          <w:sz w:val="24"/>
        </w:rPr>
      </w:pPr>
      <w:r>
        <w:rPr>
          <w:b/>
          <w:sz w:val="24"/>
        </w:rPr>
        <w:t>Nays:</w:t>
      </w:r>
      <w:r>
        <w:rPr>
          <w:b/>
          <w:spacing w:val="58"/>
          <w:sz w:val="24"/>
        </w:rPr>
        <w:t> </w:t>
      </w:r>
      <w:r>
        <w:rPr>
          <w:sz w:val="24"/>
        </w:rPr>
        <w:t>None</w:t>
        <w:tab/>
      </w:r>
      <w:r>
        <w:rPr>
          <w:b/>
          <w:sz w:val="24"/>
        </w:rPr>
        <w:t>Absent:</w:t>
      </w:r>
      <w:r>
        <w:rPr>
          <w:b/>
          <w:spacing w:val="57"/>
          <w:sz w:val="24"/>
        </w:rPr>
        <w:t> </w:t>
      </w:r>
      <w:r>
        <w:rPr>
          <w:sz w:val="24"/>
        </w:rPr>
        <w:t>Polsdofer,</w:t>
      </w:r>
      <w:r>
        <w:rPr>
          <w:spacing w:val="-1"/>
          <w:sz w:val="24"/>
        </w:rPr>
        <w:t> </w:t>
      </w:r>
      <w:r>
        <w:rPr>
          <w:sz w:val="24"/>
        </w:rPr>
        <w:t>Pratt</w:t>
        <w:tab/>
      </w:r>
      <w:r>
        <w:rPr>
          <w:b/>
          <w:sz w:val="24"/>
        </w:rPr>
        <w:t>Approved  09/16/26</w:t>
      </w:r>
    </w:p>
    <w:sectPr>
      <w:pgSz w:w="12240" w:h="15840"/>
      <w:pgMar w:top="1360" w:bottom="280" w:left="620" w:right="6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rPr>
  </w:style>
  <w:style w:styleId="BodyText" w:type="paragraph">
    <w:name w:val="Body Text"/>
    <w:basedOn w:val="Normal"/>
    <w:uiPriority w:val="1"/>
    <w:qFormat/>
    <w:pPr/>
    <w:rPr>
      <w:rFonts w:ascii="Times New Roman" w:hAnsi="Times New Roman" w:eastAsia="Times New Roman" w:cs="Times New Roman"/>
      <w:sz w:val="24"/>
      <w:szCs w:val="24"/>
    </w:rPr>
  </w:style>
  <w:style w:styleId="Heading1" w:type="paragraph">
    <w:name w:val="Heading 1"/>
    <w:basedOn w:val="Normal"/>
    <w:uiPriority w:val="1"/>
    <w:qFormat/>
    <w:pPr>
      <w:ind w:right="98"/>
      <w:jc w:val="center"/>
      <w:outlineLvl w:val="1"/>
    </w:pPr>
    <w:rPr>
      <w:rFonts w:ascii="Times New Roman" w:hAnsi="Times New Roman" w:eastAsia="Times New Roman" w:cs="Times New Roman"/>
      <w:b/>
      <w:bCs/>
      <w:sz w:val="24"/>
      <w:szCs w:val="24"/>
    </w:rPr>
  </w:style>
  <w:style w:styleId="ListParagraph" w:type="paragraph">
    <w:name w:val="List Paragraph"/>
    <w:basedOn w:val="Normal"/>
    <w:uiPriority w:val="1"/>
    <w:qFormat/>
    <w:pPr/>
    <w:rPr/>
  </w:style>
  <w:style w:styleId="TableParagraph" w:type="paragraph">
    <w:name w:val="Table Paragraph"/>
    <w:basedOn w:val="Normal"/>
    <w:uiPriority w:val="1"/>
    <w:qFormat/>
    <w:pPr/>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Heather Barry</dc:creator>
  <dcterms:created xsi:type="dcterms:W3CDTF">2026-09-23T14:50:40Z</dcterms:created>
  <dcterms:modified xsi:type="dcterms:W3CDTF">2026-09-23T14:50:40Z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2026-09-23T00:00:00Z</vt:filetime>
  </property>
  <property fmtid="{D5CDD505-2E9C-101B-9397-08002B2CF9AE}" pid="3" name="Creator">
    <vt:lpwstr>Acrobat PDFMaker 20 for Word</vt:lpwstr>
  </property>
  <property fmtid="{D5CDD505-2E9C-101B-9397-08002B2CF9AE}" pid="4" name="LastSaved">
    <vt:filetime>2026-09-23T00:00:00Z</vt:filetime>
  </property>
</Properties>
</file>